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974" w:rsidRPr="002B4974" w:rsidRDefault="00B043CC" w:rsidP="00F237C4">
      <w:pPr>
        <w:pBdr>
          <w:left w:val="single" w:sz="4" w:space="0" w:color="auto"/>
          <w:bottom w:val="single" w:sz="4" w:space="0" w:color="auto"/>
        </w:pBdr>
        <w:spacing w:before="120" w:after="0" w:line="276" w:lineRule="auto"/>
        <w:rPr>
          <w:rFonts w:ascii="Maiandra GD" w:eastAsia="Calibri" w:hAnsi="Maiandra GD" w:cs="Times New Roman"/>
          <w:sz w:val="21"/>
          <w:szCs w:val="20"/>
        </w:rPr>
      </w:pPr>
      <w:r w:rsidRPr="00606A32">
        <w:rPr>
          <w:b/>
          <w:i/>
          <w:noProof/>
          <w:sz w:val="21"/>
          <w:szCs w:val="21"/>
        </w:rPr>
        <w:drawing>
          <wp:anchor distT="0" distB="0" distL="114300" distR="114300" simplePos="0" relativeHeight="251659264" behindDoc="0" locked="0" layoutInCell="1" allowOverlap="1" wp14:anchorId="0235F3AA" wp14:editId="6AD16938">
            <wp:simplePos x="0" y="0"/>
            <wp:positionH relativeFrom="margin">
              <wp:posOffset>-57150</wp:posOffset>
            </wp:positionH>
            <wp:positionV relativeFrom="topMargin">
              <wp:align>bottom</wp:align>
            </wp:positionV>
            <wp:extent cx="1866900" cy="361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pic:spPr>
                </pic:pic>
              </a:graphicData>
            </a:graphic>
            <wp14:sizeRelH relativeFrom="margin">
              <wp14:pctWidth>0</wp14:pctWidth>
            </wp14:sizeRelH>
            <wp14:sizeRelV relativeFrom="margin">
              <wp14:pctHeight>0</wp14:pctHeight>
            </wp14:sizeRelV>
          </wp:anchor>
        </w:drawing>
      </w:r>
      <w:r w:rsidR="002B4974" w:rsidRPr="002B4974">
        <w:rPr>
          <w:rFonts w:ascii="Maiandra GD" w:eastAsia="Calibri" w:hAnsi="Maiandra GD" w:cs="Times New Roman"/>
          <w:b/>
          <w:color w:val="000000"/>
          <w:sz w:val="21"/>
        </w:rPr>
        <w:t>Professor</w:t>
      </w:r>
      <w:r w:rsidR="002B4974" w:rsidRPr="002B4974">
        <w:rPr>
          <w:rFonts w:ascii="Maiandra GD" w:eastAsia="Calibri" w:hAnsi="Maiandra GD" w:cs="Times New Roman"/>
          <w:b/>
          <w:sz w:val="21"/>
          <w:szCs w:val="20"/>
        </w:rPr>
        <w:t xml:space="preserve"> </w:t>
      </w:r>
      <w:sdt>
        <w:sdtPr>
          <w:rPr>
            <w:rFonts w:ascii="Maiandra GD" w:eastAsia="Calibri" w:hAnsi="Maiandra GD" w:cs="Times New Roman"/>
            <w:b/>
            <w:color w:val="000000"/>
            <w:sz w:val="21"/>
          </w:rPr>
          <w:id w:val="609319539"/>
          <w:docPartObj>
            <w:docPartGallery w:val="Page Numbers (Top of Page)"/>
            <w:docPartUnique/>
          </w:docPartObj>
        </w:sdtPr>
        <w:sdtEndPr/>
        <w:sdtContent>
          <w:r w:rsidR="002B4974" w:rsidRPr="002B4974">
            <w:rPr>
              <w:rFonts w:ascii="Maiandra GD" w:eastAsia="Calibri" w:hAnsi="Maiandra GD" w:cs="Times New Roman"/>
              <w:b/>
              <w:color w:val="000000"/>
              <w:sz w:val="21"/>
            </w:rPr>
            <w:t xml:space="preserve">Rhonda </w:t>
          </w:r>
          <w:proofErr w:type="spellStart"/>
          <w:r w:rsidR="002B4974" w:rsidRPr="002B4974">
            <w:rPr>
              <w:rFonts w:ascii="Maiandra GD" w:eastAsia="Calibri" w:hAnsi="Maiandra GD" w:cs="Times New Roman"/>
              <w:b/>
              <w:color w:val="000000"/>
              <w:sz w:val="21"/>
            </w:rPr>
            <w:t>Oehlrich</w:t>
          </w:r>
          <w:proofErr w:type="spellEnd"/>
        </w:sdtContent>
      </w:sdt>
      <w:r w:rsidR="002B4974" w:rsidRPr="002B4974">
        <w:rPr>
          <w:rFonts w:ascii="Maiandra GD" w:eastAsia="Calibri" w:hAnsi="Maiandra GD" w:cs="Times New Roman"/>
          <w:smallCaps/>
          <w:color w:val="000000"/>
          <w:sz w:val="21"/>
        </w:rPr>
        <w:t xml:space="preserve">        </w:t>
      </w:r>
      <w:r w:rsidR="002B4974" w:rsidRPr="002B4974">
        <w:rPr>
          <w:rFonts w:ascii="Maiandra GD" w:eastAsia="Calibri" w:hAnsi="Maiandra GD" w:cs="Times New Roman"/>
          <w:b/>
          <w:color w:val="000000"/>
          <w:sz w:val="21"/>
        </w:rPr>
        <w:t>Section:</w:t>
      </w:r>
      <w:r w:rsidR="002B4974" w:rsidRPr="002B4974">
        <w:rPr>
          <w:rFonts w:ascii="Maiandra GD" w:eastAsia="Calibri" w:hAnsi="Maiandra GD" w:cs="Times New Roman"/>
          <w:smallCaps/>
          <w:color w:val="000000"/>
          <w:sz w:val="21"/>
        </w:rPr>
        <w:t xml:space="preserve">      </w:t>
      </w:r>
      <w:r w:rsidR="002B4974" w:rsidRPr="002B4974">
        <w:rPr>
          <w:rFonts w:ascii="Maiandra GD" w:eastAsia="Calibri" w:hAnsi="Maiandra GD" w:cs="Times New Roman"/>
          <w:b/>
          <w:color w:val="000000"/>
          <w:sz w:val="21"/>
        </w:rPr>
        <w:t>3</w:t>
      </w:r>
      <w:r w:rsidR="002B4974" w:rsidRPr="002B4974">
        <w:rPr>
          <w:rFonts w:ascii="Maiandra GD" w:eastAsia="Calibri" w:hAnsi="Maiandra GD" w:cs="Times New Roman"/>
          <w:color w:val="000000"/>
          <w:sz w:val="21"/>
        </w:rPr>
        <w:t xml:space="preserve"> credit hours</w:t>
      </w:r>
      <w:r w:rsidR="002B4974" w:rsidRPr="002B4974">
        <w:rPr>
          <w:rFonts w:ascii="Maiandra GD" w:eastAsia="Calibri" w:hAnsi="Maiandra GD" w:cs="Times New Roman"/>
          <w:color w:val="444444"/>
          <w:sz w:val="21"/>
          <w:szCs w:val="21"/>
          <w:shd w:val="clear" w:color="auto" w:fill="FFFFFF"/>
        </w:rPr>
        <w:t> </w:t>
      </w:r>
      <w:r w:rsidR="002B4974" w:rsidRPr="002B4974">
        <w:rPr>
          <w:rFonts w:ascii="Maiandra GD" w:eastAsia="Calibri" w:hAnsi="Maiandra GD" w:cs="Times New Roman"/>
          <w:smallCaps/>
          <w:color w:val="000000"/>
          <w:sz w:val="21"/>
        </w:rPr>
        <w:t xml:space="preserve">      </w:t>
      </w:r>
      <w:r w:rsidR="002B4974" w:rsidRPr="002B4974">
        <w:rPr>
          <w:rFonts w:ascii="Maiandra GD" w:eastAsia="Calibri" w:hAnsi="Maiandra GD" w:cs="Times New Roman"/>
          <w:b/>
          <w:sz w:val="21"/>
          <w:szCs w:val="21"/>
        </w:rPr>
        <w:t>Communication</w:t>
      </w:r>
      <w:r w:rsidR="002B4974" w:rsidRPr="002B4974">
        <w:rPr>
          <w:rFonts w:ascii="Maiandra GD" w:eastAsia="Calibri" w:hAnsi="Maiandra GD" w:cs="Times New Roman"/>
          <w:sz w:val="21"/>
          <w:szCs w:val="21"/>
        </w:rPr>
        <w:t xml:space="preserve"> through Canvas messages</w:t>
      </w:r>
    </w:p>
    <w:p w:rsidR="002B4974" w:rsidRPr="002B4974" w:rsidRDefault="002B4974" w:rsidP="002B4974">
      <w:pPr>
        <w:tabs>
          <w:tab w:val="left" w:pos="720"/>
          <w:tab w:val="left" w:pos="5220"/>
        </w:tabs>
        <w:spacing w:before="80" w:after="0" w:line="276" w:lineRule="auto"/>
        <w:textAlignment w:val="baseline"/>
        <w:rPr>
          <w:rFonts w:ascii="Maiandra GD" w:eastAsia="Times New Roman" w:hAnsi="Maiandra GD" w:cs="Times New Roman"/>
          <w:sz w:val="21"/>
          <w:szCs w:val="21"/>
        </w:rPr>
      </w:pPr>
      <w:r w:rsidRPr="002B4974">
        <w:rPr>
          <w:rFonts w:ascii="Maiandra GD" w:eastAsia="Times New Roman" w:hAnsi="Maiandra GD" w:cs="Times New Roman"/>
          <w:b/>
          <w:bCs/>
          <w:sz w:val="21"/>
          <w:szCs w:val="21"/>
        </w:rPr>
        <w:t>Required Textbooks:</w:t>
      </w:r>
      <w:r w:rsidRPr="002B4974">
        <w:rPr>
          <w:rFonts w:ascii="Maiandra GD" w:eastAsia="Times New Roman" w:hAnsi="Maiandra GD" w:cs="Times New Roman"/>
          <w:sz w:val="21"/>
          <w:szCs w:val="21"/>
        </w:rPr>
        <w:t xml:space="preserve"> </w:t>
      </w:r>
    </w:p>
    <w:p w:rsidR="00A37604" w:rsidRPr="00A37604" w:rsidRDefault="00A37604" w:rsidP="002B4974">
      <w:pPr>
        <w:numPr>
          <w:ilvl w:val="0"/>
          <w:numId w:val="2"/>
        </w:numPr>
        <w:tabs>
          <w:tab w:val="left" w:pos="360"/>
          <w:tab w:val="left" w:pos="5220"/>
        </w:tabs>
        <w:spacing w:after="0" w:line="276" w:lineRule="auto"/>
        <w:textAlignment w:val="baseline"/>
        <w:rPr>
          <w:rFonts w:ascii="Maiandra GD" w:eastAsia="Times New Roman" w:hAnsi="Maiandra GD" w:cs="Times New Roman"/>
          <w:i/>
          <w:sz w:val="21"/>
          <w:szCs w:val="21"/>
        </w:rPr>
      </w:pPr>
      <w:r w:rsidRPr="002B4974">
        <w:rPr>
          <w:rFonts w:ascii="Maiandra GD" w:eastAsia="Times New Roman" w:hAnsi="Maiandra GD" w:cs="Times New Roman"/>
          <w:sz w:val="21"/>
          <w:szCs w:val="21"/>
        </w:rPr>
        <w:t>Evans and Sims.</w:t>
      </w:r>
      <w:r w:rsidRPr="002B4974">
        <w:rPr>
          <w:rFonts w:ascii="Maiandra GD" w:eastAsia="Times New Roman" w:hAnsi="Maiandra GD" w:cs="Times New Roman"/>
          <w:i/>
          <w:sz w:val="21"/>
          <w:szCs w:val="21"/>
        </w:rPr>
        <w:t xml:space="preserve"> Health &amp; Physical Education for Elementary Classroom Teachers: An Integrated Approach</w:t>
      </w:r>
    </w:p>
    <w:p w:rsidR="002B4974" w:rsidRPr="00A37604" w:rsidRDefault="002B4974" w:rsidP="00A37604">
      <w:pPr>
        <w:numPr>
          <w:ilvl w:val="0"/>
          <w:numId w:val="2"/>
        </w:numPr>
        <w:tabs>
          <w:tab w:val="left" w:pos="360"/>
          <w:tab w:val="left" w:pos="5220"/>
        </w:tabs>
        <w:spacing w:after="0" w:line="276" w:lineRule="auto"/>
        <w:textAlignment w:val="baseline"/>
        <w:rPr>
          <w:rFonts w:ascii="Maiandra GD" w:eastAsia="Times New Roman" w:hAnsi="Maiandra GD" w:cs="Times New Roman"/>
          <w:i/>
          <w:sz w:val="21"/>
          <w:szCs w:val="21"/>
        </w:rPr>
      </w:pPr>
      <w:r w:rsidRPr="002B4974">
        <w:rPr>
          <w:rFonts w:ascii="Maiandra GD" w:eastAsia="Times New Roman" w:hAnsi="Maiandra GD" w:cs="Times New Roman"/>
          <w:sz w:val="21"/>
          <w:szCs w:val="21"/>
        </w:rPr>
        <w:t>Donahue and Stuart.</w:t>
      </w:r>
      <w:r w:rsidRPr="002B4974">
        <w:rPr>
          <w:rFonts w:ascii="Maiandra GD" w:eastAsia="Times New Roman" w:hAnsi="Maiandra GD" w:cs="Times New Roman"/>
          <w:i/>
          <w:sz w:val="21"/>
          <w:szCs w:val="21"/>
        </w:rPr>
        <w:t xml:space="preserve"> Artful Teaching: Integrating the Arts for Understanding the Curriculum, K-8.</w:t>
      </w:r>
    </w:p>
    <w:tbl>
      <w:tblPr>
        <w:tblW w:w="20100" w:type="dxa"/>
        <w:tblInd w:w="-105" w:type="dxa"/>
        <w:tblCellMar>
          <w:left w:w="0" w:type="dxa"/>
          <w:right w:w="0" w:type="dxa"/>
        </w:tblCellMar>
        <w:tblLook w:val="04A0" w:firstRow="1" w:lastRow="0" w:firstColumn="1" w:lastColumn="0" w:noHBand="0" w:noVBand="1"/>
      </w:tblPr>
      <w:tblGrid>
        <w:gridCol w:w="1890"/>
        <w:gridCol w:w="9105"/>
        <w:gridCol w:w="9105"/>
      </w:tblGrid>
      <w:tr w:rsidR="00A37604" w:rsidRPr="002B4974" w:rsidTr="00A37604">
        <w:trPr>
          <w:trHeight w:val="250"/>
        </w:trPr>
        <w:tc>
          <w:tcPr>
            <w:tcW w:w="1890" w:type="dxa"/>
            <w:tcBorders>
              <w:top w:val="single" w:sz="8" w:space="0" w:color="FFFFFF"/>
              <w:left w:val="single" w:sz="4" w:space="0" w:color="auto"/>
              <w:bottom w:val="single" w:sz="4" w:space="0" w:color="auto"/>
              <w:right w:val="nil"/>
            </w:tcBorders>
            <w:shd w:val="clear" w:color="auto" w:fill="F2F2F2"/>
            <w:tcMar>
              <w:top w:w="0" w:type="dxa"/>
              <w:left w:w="108" w:type="dxa"/>
              <w:bottom w:w="0" w:type="dxa"/>
              <w:right w:w="108" w:type="dxa"/>
            </w:tcMar>
            <w:hideMark/>
          </w:tcPr>
          <w:p w:rsidR="00A37604" w:rsidRPr="002B4974" w:rsidRDefault="00A37604" w:rsidP="002B4974">
            <w:pPr>
              <w:spacing w:after="0" w:line="276" w:lineRule="auto"/>
              <w:ind w:left="-45" w:right="-105"/>
              <w:rPr>
                <w:rFonts w:ascii="Maiandra GD" w:eastAsia="Times New Roman" w:hAnsi="Maiandra GD" w:cs="Times New Roman"/>
                <w:kern w:val="24"/>
                <w:sz w:val="21"/>
                <w:szCs w:val="21"/>
              </w:rPr>
            </w:pPr>
            <w:r w:rsidRPr="002B4974">
              <w:rPr>
                <w:rFonts w:ascii="Maiandra GD" w:eastAsia="Times New Roman" w:hAnsi="Maiandra GD" w:cs="Times New Roman"/>
                <w:b/>
                <w:bCs/>
                <w:kern w:val="24"/>
                <w:sz w:val="21"/>
                <w:szCs w:val="21"/>
              </w:rPr>
              <w:t>Course Description</w:t>
            </w:r>
          </w:p>
        </w:tc>
        <w:tc>
          <w:tcPr>
            <w:tcW w:w="9105" w:type="dxa"/>
            <w:tcBorders>
              <w:top w:val="nil"/>
              <w:left w:val="nil"/>
              <w:bottom w:val="nil"/>
              <w:right w:val="nil"/>
            </w:tcBorders>
            <w:tcMar>
              <w:top w:w="0" w:type="dxa"/>
              <w:left w:w="108" w:type="dxa"/>
              <w:bottom w:w="0" w:type="dxa"/>
              <w:right w:w="108" w:type="dxa"/>
            </w:tcMar>
            <w:hideMark/>
          </w:tcPr>
          <w:p w:rsidR="00A37604" w:rsidRPr="002B4974" w:rsidRDefault="00A37604" w:rsidP="002B4974">
            <w:pPr>
              <w:spacing w:after="0" w:line="276" w:lineRule="auto"/>
              <w:ind w:left="720" w:hanging="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The major purpose of this course is to provide the student with knowledge, skills, and the</w:t>
            </w:r>
          </w:p>
        </w:tc>
        <w:tc>
          <w:tcPr>
            <w:tcW w:w="9105" w:type="dxa"/>
            <w:tcBorders>
              <w:top w:val="nil"/>
              <w:left w:val="nil"/>
              <w:bottom w:val="nil"/>
              <w:right w:val="nil"/>
            </w:tcBorders>
          </w:tcPr>
          <w:p w:rsidR="00A37604" w:rsidRPr="002B4974" w:rsidRDefault="00A37604" w:rsidP="002B4974">
            <w:pPr>
              <w:spacing w:after="0" w:line="276" w:lineRule="auto"/>
              <w:ind w:left="720" w:hanging="720"/>
              <w:rPr>
                <w:rFonts w:ascii="Maiandra GD" w:eastAsia="Times New Roman" w:hAnsi="Maiandra GD" w:cs="Times New Roman"/>
                <w:kern w:val="24"/>
                <w:sz w:val="21"/>
                <w:szCs w:val="21"/>
              </w:rPr>
            </w:pPr>
          </w:p>
        </w:tc>
      </w:tr>
    </w:tbl>
    <w:p w:rsidR="002B4974" w:rsidRPr="002B4974" w:rsidRDefault="002B4974" w:rsidP="00F237C4">
      <w:pPr>
        <w:tabs>
          <w:tab w:val="left" w:pos="0"/>
        </w:tabs>
        <w:spacing w:after="120" w:line="276" w:lineRule="auto"/>
        <w:textAlignment w:val="baseline"/>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 xml:space="preserve">dispositions to support development and </w:t>
      </w:r>
      <w:r w:rsidRPr="002B4974">
        <w:rPr>
          <w:rFonts w:ascii="Maiandra GD" w:eastAsia="Times New Roman" w:hAnsi="Maiandra GD" w:cs="Times New Roman"/>
          <w:b/>
          <w:kern w:val="24"/>
          <w:sz w:val="21"/>
          <w:szCs w:val="21"/>
        </w:rPr>
        <w:t>integration</w:t>
      </w:r>
      <w:r w:rsidRPr="002B4974">
        <w:rPr>
          <w:rFonts w:ascii="Maiandra GD" w:eastAsia="Times New Roman" w:hAnsi="Maiandra GD" w:cs="Times New Roman"/>
          <w:kern w:val="24"/>
          <w:sz w:val="21"/>
          <w:szCs w:val="21"/>
        </w:rPr>
        <w:t xml:space="preserve"> of arts (music, dance, theater, visual arts), health, and wellness practices into the education of elementary school children in ways that will enrich and support all aspects of child development. This course is designed to build background for the elementary teacher who will support, not supplant, specialized arts and physical education teachers.</w:t>
      </w:r>
    </w:p>
    <w:tbl>
      <w:tblPr>
        <w:tblW w:w="10995" w:type="dxa"/>
        <w:tblInd w:w="-105" w:type="dxa"/>
        <w:tblCellMar>
          <w:left w:w="0" w:type="dxa"/>
          <w:right w:w="0" w:type="dxa"/>
        </w:tblCellMar>
        <w:tblLook w:val="04A0" w:firstRow="1" w:lastRow="0" w:firstColumn="1" w:lastColumn="0" w:noHBand="0" w:noVBand="1"/>
      </w:tblPr>
      <w:tblGrid>
        <w:gridCol w:w="2340"/>
        <w:gridCol w:w="8655"/>
      </w:tblGrid>
      <w:tr w:rsidR="002B4974" w:rsidRPr="002B4974" w:rsidTr="00F237C4">
        <w:trPr>
          <w:trHeight w:val="250"/>
        </w:trPr>
        <w:tc>
          <w:tcPr>
            <w:tcW w:w="2340" w:type="dxa"/>
            <w:tcBorders>
              <w:top w:val="single" w:sz="8" w:space="0" w:color="FFFFFF"/>
              <w:left w:val="single" w:sz="4" w:space="0" w:color="auto"/>
              <w:bottom w:val="single" w:sz="4" w:space="0" w:color="auto"/>
              <w:right w:val="nil"/>
            </w:tcBorders>
            <w:shd w:val="clear" w:color="auto" w:fill="F2F2F2"/>
            <w:tcMar>
              <w:top w:w="0" w:type="dxa"/>
              <w:left w:w="108" w:type="dxa"/>
              <w:bottom w:w="0" w:type="dxa"/>
              <w:right w:w="108" w:type="dxa"/>
            </w:tcMar>
            <w:hideMark/>
          </w:tcPr>
          <w:p w:rsidR="002B4974" w:rsidRPr="002B4974" w:rsidRDefault="002B4974" w:rsidP="002B4974">
            <w:pPr>
              <w:spacing w:after="0" w:line="276" w:lineRule="auto"/>
              <w:ind w:left="-45" w:right="-105"/>
              <w:rPr>
                <w:rFonts w:ascii="Maiandra GD" w:eastAsia="Times New Roman" w:hAnsi="Maiandra GD" w:cs="Times New Roman"/>
                <w:kern w:val="24"/>
                <w:sz w:val="21"/>
                <w:szCs w:val="21"/>
              </w:rPr>
            </w:pPr>
            <w:r w:rsidRPr="002B4974">
              <w:rPr>
                <w:rFonts w:ascii="Maiandra GD" w:eastAsia="Times New Roman" w:hAnsi="Maiandra GD" w:cs="Times New Roman"/>
                <w:b/>
                <w:bCs/>
                <w:kern w:val="24"/>
                <w:sz w:val="21"/>
                <w:szCs w:val="21"/>
              </w:rPr>
              <w:t>Professor O’s Objectives</w:t>
            </w:r>
          </w:p>
        </w:tc>
        <w:tc>
          <w:tcPr>
            <w:tcW w:w="8655" w:type="dxa"/>
            <w:tcBorders>
              <w:top w:val="nil"/>
              <w:left w:val="nil"/>
              <w:bottom w:val="nil"/>
              <w:right w:val="nil"/>
            </w:tcBorders>
            <w:tcMar>
              <w:top w:w="0" w:type="dxa"/>
              <w:left w:w="108" w:type="dxa"/>
              <w:bottom w:w="0" w:type="dxa"/>
              <w:right w:w="108" w:type="dxa"/>
            </w:tcMar>
            <w:hideMark/>
          </w:tcPr>
          <w:p w:rsidR="002B4974" w:rsidRPr="002B4974" w:rsidRDefault="002B4974" w:rsidP="002B4974">
            <w:pPr>
              <w:spacing w:after="0" w:line="276" w:lineRule="auto"/>
              <w:ind w:left="720" w:hanging="720"/>
              <w:rPr>
                <w:rFonts w:ascii="Maiandra GD" w:eastAsia="Times New Roman" w:hAnsi="Maiandra GD" w:cs="Times New Roman"/>
                <w:kern w:val="24"/>
                <w:sz w:val="21"/>
                <w:szCs w:val="21"/>
              </w:rPr>
            </w:pPr>
            <w:r w:rsidRPr="002B4974">
              <w:rPr>
                <w:rFonts w:ascii="Maiandra GD" w:eastAsia="Calibri" w:hAnsi="Maiandra GD" w:cs="Times New Roman"/>
                <w:b/>
                <w:i/>
                <w:color w:val="000000"/>
                <w:sz w:val="21"/>
                <w:szCs w:val="21"/>
              </w:rPr>
              <w:t>To Integrate: To combine, mix together, make as one</w:t>
            </w:r>
            <w:r w:rsidRPr="002B4974">
              <w:rPr>
                <w:rFonts w:ascii="Maiandra GD" w:eastAsia="Calibri" w:hAnsi="Maiandra GD" w:cs="Times New Roman"/>
                <w:color w:val="000000"/>
                <w:sz w:val="21"/>
                <w:szCs w:val="21"/>
              </w:rPr>
              <w:t xml:space="preserve">. This semester, students will learn </w:t>
            </w:r>
          </w:p>
        </w:tc>
      </w:tr>
    </w:tbl>
    <w:p w:rsidR="002B4974" w:rsidRPr="002B4974" w:rsidRDefault="002B4974" w:rsidP="002B4974">
      <w:pPr>
        <w:tabs>
          <w:tab w:val="left" w:pos="360"/>
          <w:tab w:val="left" w:pos="720"/>
        </w:tabs>
        <w:spacing w:after="120" w:line="276" w:lineRule="auto"/>
        <w:textAlignment w:val="baseline"/>
        <w:rPr>
          <w:rFonts w:ascii="Maiandra GD" w:eastAsia="Times New Roman" w:hAnsi="Maiandra GD" w:cs="Times New Roman"/>
          <w:kern w:val="24"/>
          <w:sz w:val="21"/>
          <w:szCs w:val="21"/>
        </w:rPr>
      </w:pPr>
      <w:r w:rsidRPr="002B4974">
        <w:rPr>
          <w:rFonts w:ascii="Maiandra GD" w:eastAsia="Calibri" w:hAnsi="Maiandra GD" w:cs="Times New Roman"/>
          <w:color w:val="000000"/>
          <w:sz w:val="21"/>
          <w:szCs w:val="21"/>
        </w:rPr>
        <w:t xml:space="preserve">about activities which can be integrated with academic subjects. The integrated activities are often considered extra-curricular. By using such activities to teach academic subjects, future teachers will learn to make learning interesting and appeal to Garner’s Multiple Intelligences, as well as various Learning Styles. </w:t>
      </w:r>
    </w:p>
    <w:tbl>
      <w:tblPr>
        <w:tblW w:w="10995" w:type="dxa"/>
        <w:tblInd w:w="-105" w:type="dxa"/>
        <w:tblCellMar>
          <w:left w:w="0" w:type="dxa"/>
          <w:right w:w="0" w:type="dxa"/>
        </w:tblCellMar>
        <w:tblLook w:val="04A0" w:firstRow="1" w:lastRow="0" w:firstColumn="1" w:lastColumn="0" w:noHBand="0" w:noVBand="1"/>
      </w:tblPr>
      <w:tblGrid>
        <w:gridCol w:w="1890"/>
        <w:gridCol w:w="9105"/>
      </w:tblGrid>
      <w:tr w:rsidR="002B4974" w:rsidRPr="002B4974" w:rsidTr="00F237C4">
        <w:trPr>
          <w:trHeight w:val="250"/>
        </w:trPr>
        <w:tc>
          <w:tcPr>
            <w:tcW w:w="1890" w:type="dxa"/>
            <w:tcBorders>
              <w:top w:val="single" w:sz="8" w:space="0" w:color="FFFFFF"/>
              <w:left w:val="single" w:sz="4" w:space="0" w:color="auto"/>
              <w:bottom w:val="single" w:sz="4" w:space="0" w:color="auto"/>
              <w:right w:val="nil"/>
            </w:tcBorders>
            <w:shd w:val="clear" w:color="auto" w:fill="F2F2F2"/>
            <w:tcMar>
              <w:top w:w="0" w:type="dxa"/>
              <w:left w:w="108" w:type="dxa"/>
              <w:bottom w:w="0" w:type="dxa"/>
              <w:right w:w="108" w:type="dxa"/>
            </w:tcMar>
            <w:hideMark/>
          </w:tcPr>
          <w:p w:rsidR="002B4974" w:rsidRPr="002B4974" w:rsidRDefault="002B4974" w:rsidP="002B4974">
            <w:pPr>
              <w:spacing w:after="0" w:line="276" w:lineRule="auto"/>
              <w:ind w:left="-45"/>
              <w:rPr>
                <w:rFonts w:ascii="Maiandra GD" w:eastAsia="Times New Roman" w:hAnsi="Maiandra GD" w:cs="Times New Roman"/>
                <w:kern w:val="24"/>
                <w:sz w:val="21"/>
                <w:szCs w:val="21"/>
              </w:rPr>
            </w:pPr>
            <w:r w:rsidRPr="002B4974">
              <w:rPr>
                <w:rFonts w:ascii="Maiandra GD" w:eastAsia="Times New Roman" w:hAnsi="Maiandra GD" w:cs="Times New Roman"/>
                <w:b/>
                <w:bCs/>
                <w:kern w:val="24"/>
                <w:sz w:val="21"/>
                <w:szCs w:val="21"/>
              </w:rPr>
              <w:t>Course Objectives</w:t>
            </w:r>
          </w:p>
        </w:tc>
        <w:tc>
          <w:tcPr>
            <w:tcW w:w="9105" w:type="dxa"/>
            <w:tcBorders>
              <w:top w:val="nil"/>
              <w:left w:val="nil"/>
              <w:bottom w:val="nil"/>
              <w:right w:val="nil"/>
            </w:tcBorders>
            <w:tcMar>
              <w:top w:w="0" w:type="dxa"/>
              <w:left w:w="108" w:type="dxa"/>
              <w:bottom w:w="0" w:type="dxa"/>
              <w:right w:w="108" w:type="dxa"/>
            </w:tcMar>
            <w:hideMark/>
          </w:tcPr>
          <w:p w:rsidR="002B4974" w:rsidRPr="002B4974" w:rsidRDefault="002B4974" w:rsidP="002B4974">
            <w:pPr>
              <w:spacing w:after="0" w:line="276" w:lineRule="auto"/>
              <w:ind w:left="720" w:hanging="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Objectives meet national and state standards as listed below:</w:t>
            </w:r>
          </w:p>
        </w:tc>
      </w:tr>
    </w:tbl>
    <w:p w:rsidR="002B4974" w:rsidRPr="002B4974" w:rsidRDefault="002B4974" w:rsidP="002B4974">
      <w:pPr>
        <w:tabs>
          <w:tab w:val="left" w:pos="360"/>
          <w:tab w:val="left" w:pos="720"/>
        </w:tabs>
        <w:spacing w:after="0" w:line="276" w:lineRule="auto"/>
        <w:textAlignment w:val="baseline"/>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ab/>
      </w:r>
      <w:r w:rsidRPr="002B4974">
        <w:rPr>
          <w:rFonts w:ascii="Maiandra GD" w:eastAsia="Times New Roman" w:hAnsi="Maiandra GD" w:cs="Times New Roman"/>
          <w:kern w:val="24"/>
          <w:sz w:val="21"/>
          <w:szCs w:val="21"/>
        </w:rPr>
        <w:tab/>
        <w:t xml:space="preserve">ACEI – Association for Childhood Education International </w:t>
      </w:r>
    </w:p>
    <w:p w:rsidR="002B4974" w:rsidRPr="002B4974" w:rsidRDefault="002B4974" w:rsidP="002B4974">
      <w:pPr>
        <w:tabs>
          <w:tab w:val="left" w:pos="360"/>
          <w:tab w:val="left" w:pos="720"/>
        </w:tabs>
        <w:spacing w:after="0" w:line="276" w:lineRule="auto"/>
        <w:textAlignment w:val="baseline"/>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ab/>
      </w:r>
      <w:r w:rsidRPr="002B4974">
        <w:rPr>
          <w:rFonts w:ascii="Maiandra GD" w:eastAsia="Times New Roman" w:hAnsi="Maiandra GD" w:cs="Times New Roman"/>
          <w:kern w:val="24"/>
          <w:sz w:val="21"/>
          <w:szCs w:val="21"/>
        </w:rPr>
        <w:tab/>
        <w:t xml:space="preserve">FSAC – Florida Subject Area Competencies and Skills, 16th edition  </w:t>
      </w:r>
    </w:p>
    <w:p w:rsidR="002B4974" w:rsidRPr="002B4974" w:rsidRDefault="002B4974" w:rsidP="002B4974">
      <w:pPr>
        <w:spacing w:after="0" w:line="276" w:lineRule="auto"/>
        <w:ind w:left="180"/>
        <w:rPr>
          <w:rFonts w:ascii="Maiandra GD" w:eastAsia="Times New Roman" w:hAnsi="Maiandra GD" w:cs="Times New Roman"/>
          <w:b/>
          <w:kern w:val="24"/>
          <w:sz w:val="21"/>
          <w:szCs w:val="21"/>
        </w:rPr>
      </w:pPr>
      <w:r w:rsidRPr="002B4974">
        <w:rPr>
          <w:rFonts w:ascii="Maiandra GD" w:eastAsia="Times New Roman" w:hAnsi="Maiandra GD" w:cs="Times New Roman"/>
          <w:b/>
          <w:kern w:val="24"/>
          <w:sz w:val="21"/>
          <w:szCs w:val="21"/>
        </w:rPr>
        <w:t>Students will:</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and describe the content and function of performing arts (dance, music, theater) and the visual arts as media for communication, inquiry, and engagement among elementary students (ACEI 2.5).</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developmentally appropriate content, materials/media, and skills related to music and arts in elementary classrooms (FSAC 60.12.1-6).</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elements of music and art used to communicate ideas, meaning, emotion (FSAC 60.13.1, 4).</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and demonstrate strategies for developing creative responses through music and art to ideas drawn from text, speech, movement, music, art (FSAC 60.13.2,3.).</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 xml:space="preserve">Identify and describe how music and visual arts reflects </w:t>
      </w:r>
      <w:proofErr w:type="gramStart"/>
      <w:r w:rsidRPr="002B4974">
        <w:rPr>
          <w:rFonts w:ascii="Maiandra GD" w:eastAsia="Times New Roman" w:hAnsi="Maiandra GD" w:cs="Times New Roman"/>
          <w:kern w:val="24"/>
          <w:sz w:val="21"/>
          <w:szCs w:val="21"/>
        </w:rPr>
        <w:t>particular cultures</w:t>
      </w:r>
      <w:proofErr w:type="gramEnd"/>
      <w:r w:rsidRPr="002B4974">
        <w:rPr>
          <w:rFonts w:ascii="Maiandra GD" w:eastAsia="Times New Roman" w:hAnsi="Maiandra GD" w:cs="Times New Roman"/>
          <w:kern w:val="24"/>
          <w:sz w:val="21"/>
          <w:szCs w:val="21"/>
        </w:rPr>
        <w:t>, historical periods, and places (FSAC 60.14.2, 4.).</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strategies for developing K-6 students’ analytical skills for evaluating musical performance and works of arts (FSAC 60.15. 1, 2.).</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a variety of developmentally appropriate strategies and materials for assessing skills, techniques, creativity, and communication in music and visual arts (FSAC 60.15.1-2.).</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 xml:space="preserve">Identify and describe the major concepts in health education that create opportunities for K-6 student development and practice of skills that contribute to good health (ACEI 2.6). </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and describe human movement and physical activity as central elements to foster active, healthy lifestyles and enhanced quality of life for elementary students (ACEI 2.7).</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Demonstrate knowledge of the interrelatedness of physical activity, fitness, and health for elementary children (FSAC 60.17.1).</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Demonstrate knowledge of decision making and goal setting in promoting health and wellness (including nutrition, physical activity, and fitness) (SAC 60.17.2-3.).</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Demonstrate knowledge of common health problems and risk behaviors associated with them (with focus on nutrition and physical fitness) (SAC 60.17.4).</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Distinguish between developmentally appropriate and inappropriate instructional practices that consider the interaction of cognitive, affective, and psychomotor domains (FSAC 60.20.1).</w:t>
      </w:r>
    </w:p>
    <w:p w:rsidR="002B4974" w:rsidRPr="002B497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Identify various factors (e.g., environment, equipment, facilities, space, safety, group diversity) to consider when planning physical activities (FSAC 60.20.2).</w:t>
      </w:r>
    </w:p>
    <w:p w:rsidR="002B4974" w:rsidRPr="00F237C4" w:rsidRDefault="002B4974" w:rsidP="00F237C4">
      <w:pPr>
        <w:numPr>
          <w:ilvl w:val="0"/>
          <w:numId w:val="1"/>
        </w:numPr>
        <w:spacing w:after="80" w:line="240" w:lineRule="auto"/>
        <w:ind w:left="720"/>
        <w:rPr>
          <w:rFonts w:ascii="Maiandra GD" w:eastAsia="Times New Roman" w:hAnsi="Maiandra GD" w:cs="Times New Roman"/>
          <w:kern w:val="24"/>
          <w:sz w:val="21"/>
          <w:szCs w:val="21"/>
        </w:rPr>
      </w:pPr>
      <w:r w:rsidRPr="002B4974">
        <w:rPr>
          <w:rFonts w:ascii="Maiandra GD" w:eastAsia="Times New Roman" w:hAnsi="Maiandra GD" w:cs="Times New Roman"/>
          <w:kern w:val="24"/>
          <w:sz w:val="21"/>
          <w:szCs w:val="21"/>
        </w:rPr>
        <w:t>Analyze the influence of culture, media, technology, and other factors as related to planning health and wellness instruction (FSAC 60.20.3).</w:t>
      </w:r>
    </w:p>
    <w:sectPr w:rsidR="002B4974" w:rsidRPr="00F237C4" w:rsidSect="00F94CC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403" w:rsidRDefault="00D73403">
      <w:pPr>
        <w:spacing w:after="0" w:line="240" w:lineRule="auto"/>
      </w:pPr>
      <w:r>
        <w:separator/>
      </w:r>
    </w:p>
  </w:endnote>
  <w:endnote w:type="continuationSeparator" w:id="0">
    <w:p w:rsidR="00D73403" w:rsidRDefault="00D7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C3" w:rsidRPr="00927311" w:rsidRDefault="002B4974" w:rsidP="00927311">
    <w:pPr>
      <w:pStyle w:val="Heading11"/>
      <w:spacing w:before="120" w:line="240" w:lineRule="auto"/>
      <w:jc w:val="center"/>
      <w:rPr>
        <w:rFonts w:ascii="Maiandra GD" w:hAnsi="Maiandra GD"/>
        <w:i/>
        <w:color w:val="auto"/>
        <w:sz w:val="21"/>
        <w:szCs w:val="21"/>
      </w:rPr>
    </w:pPr>
    <w:r w:rsidRPr="00606A32">
      <w:rPr>
        <w:rFonts w:ascii="Maiandra GD" w:hAnsi="Maiandra GD"/>
        <w:i/>
        <w:color w:val="auto"/>
        <w:sz w:val="21"/>
        <w:szCs w:val="21"/>
      </w:rPr>
      <w:t>“I've learned that people will forget what you said, people will forget what you did, but people will never forget how you made them feel.” Maya Angelou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C3" w:rsidRPr="00606A32" w:rsidRDefault="00D73403" w:rsidP="00F62951">
    <w:pPr>
      <w:pStyle w:val="Footer"/>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i/>
        <w:sz w:val="24"/>
        <w:szCs w:val="24"/>
      </w:rPr>
      <w:id w:val="-67349879"/>
      <w:docPartObj>
        <w:docPartGallery w:val="Page Numbers (Bottom of Page)"/>
        <w:docPartUnique/>
      </w:docPartObj>
    </w:sdtPr>
    <w:sdtEndPr>
      <w:rPr>
        <w:noProof/>
      </w:rPr>
    </w:sdtEndPr>
    <w:sdtContent>
      <w:p w:rsidR="00A37604" w:rsidRPr="00A37604" w:rsidRDefault="00A37604">
        <w:pPr>
          <w:pStyle w:val="Footer"/>
          <w:jc w:val="right"/>
          <w:rPr>
            <w:b/>
            <w:i/>
            <w:sz w:val="24"/>
            <w:szCs w:val="24"/>
          </w:rPr>
        </w:pPr>
        <w:r w:rsidRPr="00A37604">
          <w:rPr>
            <w:b/>
            <w:i/>
            <w:sz w:val="24"/>
            <w:szCs w:val="24"/>
          </w:rPr>
          <w:fldChar w:fldCharType="begin"/>
        </w:r>
        <w:r w:rsidRPr="00A37604">
          <w:rPr>
            <w:b/>
            <w:i/>
            <w:sz w:val="24"/>
            <w:szCs w:val="24"/>
          </w:rPr>
          <w:instrText xml:space="preserve"> PAGE   \* MERGEFORMAT </w:instrText>
        </w:r>
        <w:r w:rsidRPr="00A37604">
          <w:rPr>
            <w:b/>
            <w:i/>
            <w:sz w:val="24"/>
            <w:szCs w:val="24"/>
          </w:rPr>
          <w:fldChar w:fldCharType="separate"/>
        </w:r>
        <w:r w:rsidRPr="00A37604">
          <w:rPr>
            <w:b/>
            <w:i/>
            <w:noProof/>
            <w:sz w:val="24"/>
            <w:szCs w:val="24"/>
          </w:rPr>
          <w:t>2</w:t>
        </w:r>
        <w:r w:rsidRPr="00A37604">
          <w:rPr>
            <w:b/>
            <w:i/>
            <w:noProof/>
            <w:sz w:val="24"/>
            <w:szCs w:val="24"/>
          </w:rPr>
          <w:fldChar w:fldCharType="end"/>
        </w:r>
      </w:p>
    </w:sdtContent>
  </w:sdt>
  <w:p w:rsidR="005E09C3" w:rsidRPr="00927311" w:rsidRDefault="00D73403" w:rsidP="00927311">
    <w:pPr>
      <w:tabs>
        <w:tab w:val="center" w:pos="4680"/>
        <w:tab w:val="right" w:pos="9360"/>
      </w:tabs>
      <w:spacing w:after="0" w:line="240" w:lineRule="auto"/>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403" w:rsidRDefault="00D73403">
      <w:pPr>
        <w:spacing w:after="0" w:line="240" w:lineRule="auto"/>
      </w:pPr>
      <w:r>
        <w:separator/>
      </w:r>
    </w:p>
  </w:footnote>
  <w:footnote w:type="continuationSeparator" w:id="0">
    <w:p w:rsidR="00D73403" w:rsidRDefault="00D73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C3" w:rsidRDefault="002B4974" w:rsidP="00FB433A">
    <w:pPr>
      <w:pStyle w:val="Header"/>
      <w:jc w:val="right"/>
    </w:pPr>
    <w:r>
      <w:t xml:space="preserve"> </w:t>
    </w:r>
  </w:p>
  <w:p w:rsidR="005E09C3" w:rsidRPr="00FB433A" w:rsidRDefault="00D73403" w:rsidP="00FB433A">
    <w:pPr>
      <w:pStyle w:val="Header"/>
      <w:jc w:val="right"/>
      <w:rPr>
        <w:i/>
        <w:sz w:val="21"/>
        <w:szCs w:val="21"/>
      </w:rPr>
    </w:pPr>
    <w:sdt>
      <w:sdtPr>
        <w:rPr>
          <w:i/>
          <w:sz w:val="21"/>
          <w:szCs w:val="21"/>
        </w:rPr>
        <w:id w:val="-1847699153"/>
        <w:docPartObj>
          <w:docPartGallery w:val="Page Numbers (Top of Page)"/>
          <w:docPartUnique/>
        </w:docPartObj>
      </w:sdtPr>
      <w:sdtEndPr/>
      <w:sdtContent>
        <w:proofErr w:type="spellStart"/>
        <w:r w:rsidR="002B4974" w:rsidRPr="00606A32">
          <w:rPr>
            <w:i/>
            <w:sz w:val="21"/>
            <w:szCs w:val="21"/>
          </w:rPr>
          <w:t>Oehlrich</w:t>
        </w:r>
        <w:proofErr w:type="spellEnd"/>
        <w:r w:rsidR="002B4974" w:rsidRPr="00606A32">
          <w:rPr>
            <w:i/>
            <w:sz w:val="21"/>
            <w:szCs w:val="21"/>
          </w:rPr>
          <w:t xml:space="preserve"> EDF </w:t>
        </w:r>
        <w:r w:rsidR="002B4974">
          <w:rPr>
            <w:i/>
            <w:sz w:val="21"/>
            <w:szCs w:val="21"/>
          </w:rPr>
          <w:t>2290</w:t>
        </w:r>
        <w:r w:rsidR="002B4974" w:rsidRPr="00606A32">
          <w:rPr>
            <w:i/>
            <w:sz w:val="21"/>
            <w:szCs w:val="21"/>
          </w:rPr>
          <w:t xml:space="preserve"> </w:t>
        </w:r>
        <w:r w:rsidR="002B4974">
          <w:rPr>
            <w:i/>
            <w:sz w:val="21"/>
            <w:szCs w:val="21"/>
          </w:rPr>
          <w:t>S-18-B</w:t>
        </w:r>
      </w:sdtContent>
    </w:sdt>
    <w:r w:rsidR="002B4974">
      <w:rPr>
        <w:i/>
        <w:sz w:val="21"/>
        <w:szCs w:val="21"/>
      </w:rPr>
      <w:t xml:space="preserve"> </w:t>
    </w:r>
    <w:r w:rsidR="002B4974">
      <w:t xml:space="preserve"> </w:t>
    </w:r>
    <w:sdt>
      <w:sdtPr>
        <w:rPr>
          <w:b/>
          <w:sz w:val="21"/>
          <w:szCs w:val="21"/>
        </w:rPr>
        <w:id w:val="621812668"/>
        <w:docPartObj>
          <w:docPartGallery w:val="Page Numbers (Top of Page)"/>
          <w:docPartUnique/>
        </w:docPartObj>
      </w:sdtPr>
      <w:sdtEndPr>
        <w:rPr>
          <w:noProof/>
        </w:rPr>
      </w:sdtEndPr>
      <w:sdtContent>
        <w:r w:rsidR="002B4974" w:rsidRPr="00FB433A">
          <w:rPr>
            <w:b/>
            <w:sz w:val="21"/>
            <w:szCs w:val="21"/>
          </w:rPr>
          <w:fldChar w:fldCharType="begin"/>
        </w:r>
        <w:r w:rsidR="002B4974" w:rsidRPr="00FB433A">
          <w:rPr>
            <w:b/>
            <w:sz w:val="21"/>
            <w:szCs w:val="21"/>
          </w:rPr>
          <w:instrText xml:space="preserve"> PAGE   \* MERGEFORMAT </w:instrText>
        </w:r>
        <w:r w:rsidR="002B4974" w:rsidRPr="00FB433A">
          <w:rPr>
            <w:b/>
            <w:sz w:val="21"/>
            <w:szCs w:val="21"/>
          </w:rPr>
          <w:fldChar w:fldCharType="separate"/>
        </w:r>
        <w:r w:rsidR="002B4974">
          <w:rPr>
            <w:b/>
            <w:noProof/>
            <w:sz w:val="21"/>
            <w:szCs w:val="21"/>
          </w:rPr>
          <w:t>2</w:t>
        </w:r>
        <w:r w:rsidR="002B4974" w:rsidRPr="00FB433A">
          <w:rPr>
            <w:b/>
            <w:noProof/>
            <w:sz w:val="21"/>
            <w:szCs w:val="21"/>
          </w:rPr>
          <w:fldChar w:fldCharType="end"/>
        </w:r>
      </w:sdtContent>
    </w:sdt>
  </w:p>
  <w:p w:rsidR="005E09C3" w:rsidRPr="00606A32" w:rsidRDefault="00D73403" w:rsidP="00082169">
    <w:pPr>
      <w:pStyle w:val="Header"/>
      <w:rPr>
        <w: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C3" w:rsidRPr="00606A32" w:rsidRDefault="00D73403" w:rsidP="00F237C4">
    <w:pPr>
      <w:pStyle w:val="Header"/>
      <w:rPr>
        <w:i/>
        <w:sz w:val="21"/>
        <w:szCs w:val="21"/>
      </w:rPr>
    </w:pPr>
  </w:p>
  <w:p w:rsidR="005E09C3" w:rsidRPr="00F62951" w:rsidRDefault="00D73403" w:rsidP="0024798A">
    <w:pPr>
      <w:pStyle w:val="Header"/>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i/>
        <w:sz w:val="21"/>
        <w:szCs w:val="21"/>
      </w:rPr>
      <w:id w:val="-1994334567"/>
      <w:docPartObj>
        <w:docPartGallery w:val="Page Numbers (Top of Page)"/>
        <w:docPartUnique/>
      </w:docPartObj>
    </w:sdtPr>
    <w:sdtEndPr>
      <w:rPr>
        <w:rFonts w:ascii="Maiandra GD" w:hAnsi="Maiandra GD"/>
        <w:noProof/>
      </w:rPr>
    </w:sdtEndPr>
    <w:sdtContent>
      <w:p w:rsidR="005E09C3" w:rsidRPr="00F237C4" w:rsidRDefault="00D73403" w:rsidP="00F237C4">
        <w:pPr>
          <w:tabs>
            <w:tab w:val="left" w:pos="0"/>
          </w:tabs>
          <w:spacing w:after="60" w:line="276" w:lineRule="auto"/>
          <w:ind w:right="90"/>
          <w:jc w:val="right"/>
          <w:rPr>
            <w:rFonts w:ascii="Maiandra GD" w:eastAsia="Calibri" w:hAnsi="Maiandra GD" w:cs="Times New Roman"/>
            <w:b/>
            <w:noProof/>
            <w:sz w:val="21"/>
            <w:szCs w:val="21"/>
          </w:rPr>
        </w:pPr>
        <w:hyperlink r:id="rId1" w:history="1">
          <w:r w:rsidR="00F237C4" w:rsidRPr="00F237C4">
            <w:rPr>
              <w:rFonts w:ascii="Maiandra GD" w:eastAsia="Calibri" w:hAnsi="Maiandra GD" w:cs="Times New Roman"/>
              <w:b/>
              <w:i/>
              <w:sz w:val="21"/>
              <w:szCs w:val="21"/>
            </w:rPr>
            <w:t>EDF 2290</w:t>
          </w:r>
        </w:hyperlink>
        <w:r w:rsidR="00F237C4" w:rsidRPr="00F237C4">
          <w:rPr>
            <w:rFonts w:ascii="Maiandra GD" w:eastAsia="Calibri" w:hAnsi="Maiandra GD" w:cs="Times New Roman"/>
            <w:b/>
            <w:i/>
            <w:sz w:val="21"/>
            <w:szCs w:val="21"/>
          </w:rPr>
          <w:t xml:space="preserve">: Arts and Wellness in the Elementary </w:t>
        </w:r>
        <w:r w:rsidR="006E42B1">
          <w:rPr>
            <w:rFonts w:ascii="Maiandra GD" w:eastAsia="Calibri" w:hAnsi="Maiandra GD" w:cs="Times New Roman"/>
            <w:b/>
            <w:i/>
            <w:sz w:val="21"/>
            <w:szCs w:val="21"/>
          </w:rPr>
          <w:t>Classroom</w:t>
        </w:r>
      </w:p>
      <w:bookmarkStart w:id="0" w:name="_GoBack" w:displacedByCustomXml="next"/>
      <w:bookmarkEnd w:id="0"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862E4"/>
    <w:multiLevelType w:val="hybridMultilevel"/>
    <w:tmpl w:val="1FE28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813329"/>
    <w:multiLevelType w:val="hybridMultilevel"/>
    <w:tmpl w:val="B17EAB16"/>
    <w:lvl w:ilvl="0" w:tplc="0E88C95A">
      <w:start w:val="1"/>
      <w:numFmt w:val="bullet"/>
      <w:lvlText w:val="t"/>
      <w:lvlJc w:val="left"/>
      <w:pPr>
        <w:ind w:left="720" w:hanging="360"/>
      </w:pPr>
      <w:rPr>
        <w:rFonts w:ascii="Wingdings" w:hAnsi="Wingdings" w:cs="Times New Roman" w:hint="default"/>
        <w:b/>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74"/>
    <w:rsid w:val="0023081C"/>
    <w:rsid w:val="0024016B"/>
    <w:rsid w:val="002B4974"/>
    <w:rsid w:val="005A0E4C"/>
    <w:rsid w:val="006E42B1"/>
    <w:rsid w:val="0071328A"/>
    <w:rsid w:val="00A37604"/>
    <w:rsid w:val="00B043CC"/>
    <w:rsid w:val="00D67F02"/>
    <w:rsid w:val="00D73403"/>
    <w:rsid w:val="00E2154A"/>
    <w:rsid w:val="00F237C4"/>
    <w:rsid w:val="00F8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2D2C"/>
  <w15:chartTrackingRefBased/>
  <w15:docId w15:val="{F6400F8A-50CF-4736-8F1B-AE8AC28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974"/>
    <w:pPr>
      <w:keepNext/>
      <w:keepLines/>
      <w:spacing w:before="240" w:after="0"/>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B4974"/>
    <w:pPr>
      <w:keepNext/>
      <w:keepLines/>
      <w:spacing w:before="240" w:after="0" w:line="276" w:lineRule="auto"/>
      <w:outlineLvl w:val="0"/>
    </w:pPr>
    <w:rPr>
      <w:rFonts w:ascii="Cambria" w:eastAsia="Times New Roman" w:hAnsi="Cambria" w:cs="Times New Roman"/>
      <w:color w:val="365F91"/>
      <w:sz w:val="32"/>
      <w:szCs w:val="32"/>
    </w:rPr>
  </w:style>
  <w:style w:type="paragraph" w:styleId="Header">
    <w:name w:val="header"/>
    <w:basedOn w:val="Normal"/>
    <w:link w:val="HeaderChar"/>
    <w:uiPriority w:val="99"/>
    <w:unhideWhenUsed/>
    <w:rsid w:val="002B4974"/>
    <w:pPr>
      <w:tabs>
        <w:tab w:val="center" w:pos="4680"/>
        <w:tab w:val="right" w:pos="9360"/>
      </w:tabs>
      <w:spacing w:after="0" w:line="240" w:lineRule="auto"/>
    </w:pPr>
    <w:rPr>
      <w:rFonts w:ascii="Maiandra GD" w:hAnsi="Maiandra GD" w:cs="Times New Roman"/>
      <w:sz w:val="20"/>
      <w:szCs w:val="20"/>
    </w:rPr>
  </w:style>
  <w:style w:type="character" w:customStyle="1" w:styleId="HeaderChar">
    <w:name w:val="Header Char"/>
    <w:basedOn w:val="DefaultParagraphFont"/>
    <w:link w:val="Header"/>
    <w:uiPriority w:val="99"/>
    <w:rsid w:val="002B4974"/>
    <w:rPr>
      <w:rFonts w:ascii="Maiandra GD" w:hAnsi="Maiandra GD" w:cs="Times New Roman"/>
      <w:sz w:val="20"/>
      <w:szCs w:val="20"/>
    </w:rPr>
  </w:style>
  <w:style w:type="paragraph" w:styleId="Footer">
    <w:name w:val="footer"/>
    <w:basedOn w:val="Normal"/>
    <w:link w:val="FooterChar"/>
    <w:uiPriority w:val="99"/>
    <w:unhideWhenUsed/>
    <w:rsid w:val="002B4974"/>
    <w:pPr>
      <w:tabs>
        <w:tab w:val="center" w:pos="4680"/>
        <w:tab w:val="right" w:pos="9360"/>
      </w:tabs>
      <w:spacing w:after="0" w:line="240" w:lineRule="auto"/>
    </w:pPr>
    <w:rPr>
      <w:rFonts w:ascii="Maiandra GD" w:hAnsi="Maiandra GD" w:cs="Times New Roman"/>
      <w:sz w:val="20"/>
      <w:szCs w:val="20"/>
    </w:rPr>
  </w:style>
  <w:style w:type="character" w:customStyle="1" w:styleId="FooterChar">
    <w:name w:val="Footer Char"/>
    <w:basedOn w:val="DefaultParagraphFont"/>
    <w:link w:val="Footer"/>
    <w:uiPriority w:val="99"/>
    <w:rsid w:val="002B4974"/>
    <w:rPr>
      <w:rFonts w:ascii="Maiandra GD" w:hAnsi="Maiandra GD" w:cs="Times New Roman"/>
      <w:sz w:val="20"/>
      <w:szCs w:val="20"/>
    </w:rPr>
  </w:style>
  <w:style w:type="paragraph" w:customStyle="1" w:styleId="TransHeader">
    <w:name w:val="_Trans_Header"/>
    <w:qFormat/>
    <w:rsid w:val="002B4974"/>
    <w:pPr>
      <w:spacing w:after="0" w:line="240" w:lineRule="auto"/>
    </w:pPr>
    <w:rPr>
      <w:rFonts w:ascii="Calibri" w:eastAsia="Cambria" w:hAnsi="Calibri" w:cs="Arial"/>
      <w:b/>
      <w:bCs/>
      <w:color w:val="99201C"/>
      <w:sz w:val="24"/>
      <w:szCs w:val="16"/>
    </w:rPr>
  </w:style>
  <w:style w:type="character" w:customStyle="1" w:styleId="Heading1Char">
    <w:name w:val="Heading 1 Char"/>
    <w:basedOn w:val="DefaultParagraphFont"/>
    <w:link w:val="Heading1"/>
    <w:uiPriority w:val="9"/>
    <w:rsid w:val="002B4974"/>
    <w:rPr>
      <w:rFonts w:ascii="Cambria" w:eastAsia="Times New Roman" w:hAnsi="Cambria" w:cs="Times New Roman"/>
      <w:color w:val="365F91"/>
      <w:sz w:val="32"/>
      <w:szCs w:val="32"/>
    </w:rPr>
  </w:style>
  <w:style w:type="character" w:customStyle="1" w:styleId="Heading1Char1">
    <w:name w:val="Heading 1 Char1"/>
    <w:basedOn w:val="DefaultParagraphFont"/>
    <w:uiPriority w:val="9"/>
    <w:rsid w:val="002B49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catalog.valenciacollege.edu/coursedescriptions/coursesoffered/e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Laptop</dc:creator>
  <cp:keywords/>
  <dc:description/>
  <cp:lastModifiedBy>Rhonda Laptop</cp:lastModifiedBy>
  <cp:revision>4</cp:revision>
  <dcterms:created xsi:type="dcterms:W3CDTF">2019-06-18T22:09:00Z</dcterms:created>
  <dcterms:modified xsi:type="dcterms:W3CDTF">2019-08-24T20:02:00Z</dcterms:modified>
</cp:coreProperties>
</file>